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附件2</w:t>
      </w:r>
    </w:p>
    <w:p>
      <w:pPr>
        <w:spacing w:line="360" w:lineRule="auto"/>
        <w:jc w:val="center"/>
        <w:rPr>
          <w:rFonts w:ascii="新宋体" w:hAnsi="新宋体" w:eastAsia="新宋体"/>
          <w:b/>
          <w:sz w:val="23"/>
          <w:szCs w:val="23"/>
        </w:rPr>
      </w:pPr>
      <w:bookmarkStart w:id="0" w:name="_GoBack"/>
      <w:r>
        <w:rPr>
          <w:rFonts w:ascii="新宋体" w:hAnsi="新宋体" w:eastAsia="新宋体"/>
          <w:b/>
          <w:sz w:val="23"/>
          <w:szCs w:val="23"/>
        </w:rPr>
        <w:t>浙江省应用型本科高校建设自评报告基本要求</w:t>
      </w:r>
    </w:p>
    <w:bookmarkEnd w:id="0"/>
    <w:p>
      <w:pPr>
        <w:spacing w:line="360" w:lineRule="auto"/>
        <w:rPr>
          <w:rFonts w:ascii="新宋体" w:hAnsi="新宋体" w:eastAsia="新宋体"/>
          <w:sz w:val="23"/>
          <w:szCs w:val="23"/>
        </w:rPr>
      </w:pPr>
    </w:p>
    <w:p>
      <w:pPr>
        <w:spacing w:line="360" w:lineRule="auto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　　学校要重点围绕浙教高教〔2015〕47号文件要求，突出六个方面的主要任务，全面总结和梳理应用型高校建设的成效和经验，注重典型案例的挖掘，客观分析存在的主要问题，科学谋划今后工作的思路，实事求是撰写自评报告。</w:t>
      </w:r>
    </w:p>
    <w:p>
      <w:pPr>
        <w:spacing w:line="360" w:lineRule="auto"/>
        <w:ind w:firstLine="645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自评报告主要体现以下内容：</w:t>
      </w:r>
    </w:p>
    <w:p>
      <w:pPr>
        <w:spacing w:line="360" w:lineRule="auto"/>
        <w:ind w:firstLine="567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（一）应用型高校建设总体情况。包括学校办学定位、人才培养目标定位及应用型建设的基本思路、主要举措、保障机制、总体进展和预期目标完成情况。</w:t>
      </w:r>
    </w:p>
    <w:p>
      <w:pPr>
        <w:spacing w:line="360" w:lineRule="auto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　　（二）应用型高校建设的成效和经验。总结学校在应用型专业建设、课程体系优化、“双师型”师资队伍建设和教材建设及教学改革、课堂创新、协同育人、加强实训实践、创新人才培养等方面取得的成效和经验。</w:t>
      </w:r>
    </w:p>
    <w:p>
      <w:pPr>
        <w:spacing w:line="360" w:lineRule="auto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　　（三）应用型高校建设存在的主要问题。针对影响提高应用型高校建设水平的突出问题，分析主要原因，提出解决问题的措施及建议。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（四）今后工作的思路。简要介绍下一步应用型高校建设的工作重点和拟采取的针对性措施。</w:t>
      </w:r>
    </w:p>
    <w:p>
      <w:pPr>
        <w:spacing w:line="360" w:lineRule="auto"/>
        <w:ind w:firstLine="460" w:firstLineChars="200"/>
        <w:jc w:val="both"/>
        <w:rPr>
          <w:rFonts w:ascii="新宋体" w:hAnsi="新宋体" w:eastAsia="新宋体"/>
          <w:sz w:val="23"/>
          <w:szCs w:val="23"/>
        </w:rPr>
      </w:pPr>
      <w:r>
        <w:rPr>
          <w:rFonts w:ascii="新宋体" w:hAnsi="新宋体" w:eastAsia="新宋体"/>
          <w:sz w:val="23"/>
          <w:szCs w:val="23"/>
        </w:rPr>
        <w:t>（五）特色和示范。重点总结学校在加强应用型建设方面的独特做法和亮点，并挖掘、提炼能对其他学校起到示范辐射作用的1—2个典型案例</w:t>
      </w:r>
      <w:r>
        <w:rPr>
          <w:rFonts w:hint="eastAsia" w:ascii="新宋体" w:hAnsi="新宋体" w:eastAsia="新宋体"/>
          <w:sz w:val="23"/>
          <w:szCs w:val="23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YjM2YTg5N2M2NGFiNTRhODYwYWVlYjZiZmE0NTEifQ=="/>
  </w:docVars>
  <w:rsids>
    <w:rsidRoot w:val="1D2E2BD3"/>
    <w:rsid w:val="1D2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2022-10-12T07:50:00Z</dcterms:created>
  <dc:creator>WPS_1665469752</dc:creator>
  <cp:lastModifiedBy>WPS_1665469752</cp:lastModifiedBy>
  <dcterms:modified xsi:type="dcterms:W3CDTF">2022-10-12T07:50:35Z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1E010C52EAD2494989E88A61DAA30C8A</vt:lpwstr>
  </property>
</Properties>
</file>